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0.png" ContentType="image/png"/>
  <Override PartName="/word/media/rId42.png" ContentType="image/png"/>
  <Override PartName="/word/media/rId44.png" ContentType="image/png"/>
  <Override PartName="/word/media/rId45.png" ContentType="image/png"/>
  <Override PartName="/word/media/rId24.png" ContentType="image/png"/>
  <Override PartName="/word/media/rId26.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6.png" ContentType="image/png"/>
  <Override PartName="/word/media/rId38.png" ContentType="image/png"/>
  <Override PartName="/word/media/rId4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2022-04-06</w:t>
      </w:r>
      <w:r>
        <w:t xml:space="preserve"> </w:t>
      </w:r>
      <w:r>
        <w:t xml:space="preserve">21:28:12</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 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MDPI18keywords"/>
      </w:pPr>
      <w:r>
        <w:rPr>
          <w:bCs/>
          <w:b/>
        </w:rPr>
        <w:t xml:space="preserve">Keywords</w:t>
      </w:r>
      <w:r>
        <w:t xml:space="preserve">: Fourier-transform mass-spectrometry</w:t>
      </w:r>
    </w:p>
    <w:bookmarkStart w:id="21" w:name="introduction"/>
    <w:p>
      <w:pPr>
        <w:pStyle w:val="Heading2"/>
      </w:pPr>
      <w:r>
        <w:t xml:space="preserve">Introduction</w:t>
      </w:r>
    </w:p>
    <w:bookmarkEnd w:id="21"/>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including: (i) the ability to resolve distinct isotopologues with identical unit masses but different accurate masses</w:t>
      </w:r>
      <w:r>
        <w:t xml:space="preserve"> </w:t>
      </w:r>
      <w:r>
        <w:t xml:space="preserve">[1]</w:t>
      </w:r>
      <w:r>
        <w:t xml:space="preserve">; (ii) enable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MDPI31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 orthogonal sources of information such as chromatographic retention times, reducing the reliability of assignment with most MS assignment software tools.</w:t>
      </w:r>
    </w:p>
    <w:p>
      <w:pPr>
        <w:pStyle w:val="MDPI31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cancer (NSCLC)</w:t>
      </w:r>
      <w:r>
        <w:t xml:space="preserve"> </w:t>
      </w:r>
      <w:r>
        <w:t xml:space="preserve">[20]</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 NAP relationships, our scan-centric method also results in improved relative standard deviations, automatic identification of high-peak-density artifact peaks, and separation of samples in a lipidomics data analysis.</w:t>
      </w:r>
    </w:p>
    <w:bookmarkStart w:id="22" w:name="results"/>
    <w:p>
      <w:pPr>
        <w:pStyle w:val="Heading2"/>
      </w:pPr>
      <w:r>
        <w:t xml:space="preserve">Results</w:t>
      </w:r>
    </w:p>
    <w:bookmarkEnd w:id="22"/>
    <w:bookmarkStart w:id="23" w:name="X88042993be7000277fd2394cb693c2b097ab57c"/>
    <w:p>
      <w:pPr>
        <w:pStyle w:val="Heading3"/>
      </w:pPr>
      <w:r>
        <w:t xml:space="preserve">Naively Averaged Data Have Bad Relative Intensities</w:t>
      </w:r>
    </w:p>
    <w:bookmarkEnd w:id="23"/>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anuscript_files/figure-docx/Figure_1_motivation-1.png" id="0" name="Picture"/>
                    <pic:cNvPicPr>
                      <a:picLocks noChangeArrowheads="1" noChangeAspect="1"/>
                    </pic:cNvPicPr>
                  </pic:nvPicPr>
                  <pic:blipFill>
                    <a:blip r:embed="rId24"/>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bookmarkStart w:id="25" w:name="mz-to-frequency"/>
    <w:p>
      <w:pPr>
        <w:pStyle w:val="Heading3"/>
      </w:pPr>
      <w:r>
        <w:t xml:space="preserve">m/z to Frequency</w:t>
      </w:r>
    </w:p>
    <w:bookmarkEnd w:id="25"/>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anuscript_files/figure-docx/Figure_2_mz_frequency_conversion-1.png" id="0" name="Picture"/>
                    <pic:cNvPicPr>
                      <a:picLocks noChangeArrowheads="1" noChangeAspect="1"/>
                    </pic:cNvPicPr>
                  </pic:nvPicPr>
                  <pic:blipFill>
                    <a:blip r:embed="rId26"/>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3_peak_ordering-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Start w:id="28" w:name="sliding-window-density-to-remove-noise"/>
    <w:p>
      <w:pPr>
        <w:pStyle w:val="Heading3"/>
      </w:pPr>
      <w:r>
        <w:t xml:space="preserve">Sliding Window Density to Remove Noise</w:t>
      </w:r>
    </w:p>
    <w:bookmarkEnd w:id="28"/>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anuscript_files/figure-docx/Figure_4_slidingwindow_count-1.png" id="0" name="Picture"/>
                    <pic:cNvPicPr>
                      <a:picLocks noChangeArrowheads="1" noChangeAspect="1"/>
                    </pic:cNvPicPr>
                  </pic:nvPicPr>
                  <pic:blipFill>
                    <a:blip r:embed="rId29"/>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bookmarkStart w:id="30" w:name="X3e2084d7ea97b93e3a147c453a7c5dbb7274673"/>
    <w:p>
      <w:pPr>
        <w:pStyle w:val="Heading3"/>
      </w:pPr>
      <w:r>
        <w:t xml:space="preserve">Peak Characterization Using Quadratic Fit</w:t>
      </w:r>
    </w:p>
    <w:bookmarkEnd w:id="30"/>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5_centroided_peaks-1.png" id="0" name="Picture"/>
                    <pic:cNvPicPr>
                      <a:picLocks noChangeArrowheads="1" noChangeAspect="1"/>
                    </pic:cNvPicPr>
                  </pic:nvPicPr>
                  <pic:blipFill>
                    <a:blip r:embed="rId31"/>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bookmarkStart w:id="32" w:name="breaking-up-initial-regions"/>
    <w:p>
      <w:pPr>
        <w:pStyle w:val="Heading3"/>
      </w:pPr>
      <w:r>
        <w:t xml:space="preserve">Breaking Up Initial Regions</w:t>
      </w:r>
    </w:p>
    <w:bookmarkEnd w:id="32"/>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6_breaking_regions-1.png" id="0" name="Picture"/>
                    <pic:cNvPicPr>
                      <a:picLocks noChangeArrowheads="1" noChangeAspect="1"/>
                    </pic:cNvPicPr>
                  </pic:nvPicPr>
                  <pic:blipFill>
                    <a:blip r:embed="rId3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Start w:id="34" w:name="normalization-of-scans"/>
    <w:p>
      <w:pPr>
        <w:pStyle w:val="Heading3"/>
      </w:pPr>
      <w:r>
        <w:t xml:space="preserve">Normalization of Scans</w:t>
      </w:r>
    </w:p>
    <w:bookmarkEnd w:id="34"/>
    <w:p>
      <w:pPr>
        <w:pStyle w:val="MDPI31text"/>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7_intensity_scan-1.png" id="0" name="Picture"/>
                    <pic:cNvPicPr>
                      <a:picLocks noChangeArrowheads="1" noChangeAspect="1"/>
                    </pic:cNvPicPr>
                  </pic:nvPicPr>
                  <pic:blipFill>
                    <a:blip r:embed="rId3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anuscript_files/figure-docx/Figure_8_normalization_factors-1.png" id="0" name="Picture"/>
                    <pic:cNvPicPr>
                      <a:picLocks noChangeArrowheads="1" noChangeAspect="1"/>
                    </pic:cNvPicPr>
                  </pic:nvPicPr>
                  <pic:blipFill>
                    <a:blip r:embed="rId36"/>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bookmarkStart w:id="37" w:name="removal-of-high-peak-density-artefacts"/>
    <w:p>
      <w:pPr>
        <w:pStyle w:val="Heading3"/>
      </w:pPr>
      <w:r>
        <w:t xml:space="preserve">Removal of High Peak Density Artefacts</w:t>
      </w:r>
    </w:p>
    <w:bookmarkEnd w:id="37"/>
    <w:p>
      <w:pPr>
        <w:pStyle w:val="MDPI31text"/>
      </w:pPr>
      <w:r>
        <w:t xml:space="preserve">We have previously described the presence of high peak density (HPD) artefacts in FT-MS spectra</w:t>
      </w:r>
      <w:r>
        <w:t xml:space="preserve"> </w:t>
      </w:r>
      <w:r>
        <w:t xml:space="preserve">[18]</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MDPI31text"/>
      </w:pPr>
      <w:r>
        <w:t xml:space="preserve">Figure 9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anuscript_files/figure-docx/Figure_9_hpd_compare_fsd-1.png" id="0" name="Picture"/>
                    <pic:cNvPicPr>
                      <a:picLocks noChangeArrowheads="1" noChangeAspect="1"/>
                    </pic:cNvPicPr>
                  </pic:nvPicPr>
                  <pic:blipFill>
                    <a:blip r:embed="rId38"/>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t xml:space="preserve"> </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t xml:space="preserve"> </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t xml:space="preserve"> </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bookmarkStart w:id="39" w:name="X90eae9b79132e3be6a63bb473ba8c16018c3d64"/>
    <w:p>
      <w:pPr>
        <w:pStyle w:val="Heading3"/>
      </w:pPr>
      <w:r>
        <w:t xml:space="preserve">Changes in Relative Standard Deviation (RSD)</w:t>
      </w:r>
    </w:p>
    <w:bookmarkEnd w:id="39"/>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10_rsd_method-1.png" id="0" name="Picture"/>
                    <pic:cNvPicPr>
                      <a:picLocks noChangeArrowheads="1" noChangeAspect="1"/>
                    </pic:cNvPicPr>
                  </pic:nvPicPr>
                  <pic:blipFill>
                    <a:blip r:embed="rId4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bl>
    <w:bookmarkStart w:id="41" w:name="difference-to-relative-natural-abundance"/>
    <w:p>
      <w:pPr>
        <w:pStyle w:val="Heading3"/>
      </w:pPr>
      <w:r>
        <w:t xml:space="preserve">Difference to Relative Natural Abundance</w:t>
      </w:r>
    </w:p>
    <w:bookmarkEnd w:id="41"/>
    <w:p>
      <w:pPr>
        <w:pStyle w:val="MDPI31text"/>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11 compares the peak-peak isotopic natural abundance probability and height log-ratio differences (Equation 4 in Methods) generated using heights from Xcalibur and from our scan-centric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anuscript_files/figure-docx/Figure_11_nap_intensity-1.png" id="0" name="Picture"/>
                    <pic:cNvPicPr>
                      <a:picLocks noChangeArrowheads="1" noChangeAspect="1"/>
                    </pic:cNvPicPr>
                  </pic:nvPicPr>
                  <pic:blipFill>
                    <a:blip r:embed="rId4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11.</w:t>
      </w:r>
      <w:r>
        <w:t xml:space="preserve"> </w:t>
      </w:r>
      <w:r>
        <w:rPr>
          <w:bCs/>
          <w:b/>
        </w:rPr>
        <w:t xml:space="preserve">A</w:t>
      </w:r>
      <w:r>
        <w:t xml:space="preserve">. The peak-peak NAP - intensity log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bookmarkStart w:id="43" w:name="method-specific-peaks"/>
    <w:p>
      <w:pPr>
        <w:pStyle w:val="Heading3"/>
      </w:pPr>
      <w:r>
        <w:t xml:space="preserve">Method Specific Peaks</w:t>
      </w:r>
    </w:p>
    <w:bookmarkEnd w:id="43"/>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12)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anuscript_files/figure-docx/Figure_12_unassigned_upset-1.png" id="0" name="Picture"/>
                    <pic:cNvPicPr>
                      <a:picLocks noChangeArrowheads="1" noChangeAspect="1"/>
                    </pic:cNvPicPr>
                  </pic:nvPicPr>
                  <pic:blipFill>
                    <a:blip r:embed="rId44"/>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12.</w:t>
      </w:r>
      <w:r>
        <w:t xml:space="preserve"> </w:t>
      </w:r>
      <w:r>
        <w:t xml:space="preserve">UpSet plot with the counts of common and specific peaks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13_assigned_mz_diff-1.png" id="0" name="Picture"/>
                    <pic:cNvPicPr>
                      <a:picLocks noChangeArrowheads="1" noChangeAspect="1"/>
                    </pic:cNvPicPr>
                  </pic:nvPicPr>
                  <pic:blipFill>
                    <a:blip r:embed="rId4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13.</w:t>
      </w:r>
      <w:r>
        <w:t xml:space="preserve"> </w:t>
      </w:r>
      <w:r>
        <w:t xml:space="preserve">Histograms of the m/z differences to the assigned and matched peak for 1ecf (</w:t>
      </w:r>
      <w:r>
        <w:rPr>
          <w:bCs/>
          <w:b/>
        </w:rPr>
        <w:t xml:space="preserve">A</w:t>
      </w:r>
      <w:r>
        <w:t xml:space="preserve">) and 97lipid (</w:t>
      </w:r>
      <w:r>
        <w:rPr>
          <w:bCs/>
          <w:b/>
        </w:rPr>
        <w:t xml:space="preserve">B</w:t>
      </w:r>
      <w:r>
        <w:t xml:space="preserve">).</w:t>
      </w:r>
    </w:p>
    <w:bookmarkStart w:id="46" w:name="changes-in-p-values-on-a-large-dataset"/>
    <w:p>
      <w:pPr>
        <w:pStyle w:val="Heading3"/>
      </w:pPr>
      <w:r>
        <w:t xml:space="preserve">Changes in P-Values On a Large Dataset</w:t>
      </w:r>
    </w:p>
    <w:bookmarkEnd w:id="46"/>
    <w:p>
      <w:pPr>
        <w:pStyle w:val="MDPI31text"/>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14 compares the -1 * Log10(p-values) from XX or XX isotope resolved molecular formulas (IMFs) assigned by SMIRFE for the scan-centric peaks and then peaks matched and intensities extracted from the other methods.</w:t>
      </w:r>
    </w:p>
    <w:p>
      <w:pPr>
        <w:pStyle w:val="BodyText"/>
      </w:pPr>
      <w:r>
        <w:drawing>
          <wp:inline>
            <wp:extent cx="6642100" cy="12453937"/>
            <wp:effectExtent b="0" l="0" r="0" t="0"/>
            <wp:docPr descr="" title="" id="1" name="Picture"/>
            <a:graphic>
              <a:graphicData uri="http://schemas.openxmlformats.org/drawingml/2006/picture">
                <pic:pic>
                  <pic:nvPicPr>
                    <pic:cNvPr descr="peakcharacterization_manuscript_files/figure-docx/show_p_values-1.png" id="0" name="Picture"/>
                    <pic:cNvPicPr>
                      <a:picLocks noChangeArrowheads="1" noChangeAspect="1"/>
                    </pic:cNvPicPr>
                  </pic:nvPicPr>
                  <pic:blipFill>
                    <a:blip r:embed="rId47"/>
                    <a:stretch>
                      <a:fillRect/>
                    </a:stretch>
                  </pic:blipFill>
                  <pic:spPr bwMode="auto">
                    <a:xfrm>
                      <a:off x="0" y="0"/>
                      <a:ext cx="6642100" cy="12453937"/>
                    </a:xfrm>
                    <a:prstGeom prst="rect">
                      <a:avLst/>
                    </a:prstGeom>
                    <a:noFill/>
                    <a:ln w="9525">
                      <a:noFill/>
                      <a:headEnd/>
                      <a:tailEnd/>
                    </a:ln>
                  </pic:spPr>
                </pic:pic>
              </a:graphicData>
            </a:graphic>
          </wp:inline>
        </w:drawing>
      </w:r>
    </w:p>
    <w:bookmarkStart w:id="48" w:name="discussion"/>
    <w:p>
      <w:pPr>
        <w:pStyle w:val="Heading2"/>
      </w:pPr>
      <w:r>
        <w:t xml:space="preserve">Discussion</w:t>
      </w:r>
    </w:p>
    <w:bookmarkEnd w:id="48"/>
    <w:p>
      <w:pPr>
        <w:pStyle w:val="MDPI31text"/>
      </w:pPr>
      <w:r>
        <w:t xml:space="preserve">we should have some discussion here about the results</w:t>
      </w:r>
    </w:p>
    <w:bookmarkStart w:id="49" w:name="materials-and-methods"/>
    <w:p>
      <w:pPr>
        <w:pStyle w:val="Heading2"/>
      </w:pPr>
      <w:r>
        <w:t xml:space="preserve">Materials and Methods</w:t>
      </w:r>
    </w:p>
    <w:bookmarkEnd w:id="49"/>
    <w:bookmarkStart w:id="50" w:name="conversion-of-mz-to-frequency"/>
    <w:p>
      <w:pPr>
        <w:pStyle w:val="Heading3"/>
      </w:pPr>
      <w:r>
        <w:t xml:space="preserve">Conversion of m/z to Frequency</w:t>
      </w:r>
    </w:p>
    <w:bookmarkEnd w:id="50"/>
    <w:p>
      <w:pPr>
        <w:pStyle w:val="MDPI31text"/>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e>
              <m:e/>
              <m:e>
                <m:r>
                  <m:rPr>
                    <m:nor/>
                    <m:sty m:val="p"/>
                  </m:rPr>
                  <m:t>(1)</m:t>
                </m:r>
              </m:e>
            </m:mr>
          </m:m>
        </m:oMath>
      </m:oMathPara>
    </w:p>
    <w:p>
      <w:pPr>
        <w:pStyle w:val="MDPI31text"/>
      </w:pPr>
      <w:r>
        <w:t xml:space="preserve">From the known physical properties of the Orbitrap, only the square root term should be necessary</w:t>
      </w:r>
      <w:r>
        <w:t xml:space="preserve"> </w:t>
      </w:r>
      <w:r>
        <w:t xml:space="preserve">[23]</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MDPI31text"/>
      </w:pPr>
      <w:r>
        <w:t xml:space="preserve">To convert m/z back into frequency, we can use a similar model without the roots.</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bookmarkStart w:id="51" w:name="frequency-intervals"/>
    <w:p>
      <w:pPr>
        <w:pStyle w:val="Heading3"/>
      </w:pPr>
      <w:r>
        <w:t xml:space="preserve">Frequency Intervals</w:t>
      </w:r>
    </w:p>
    <w:bookmarkEnd w:id="51"/>
    <w:p>
      <w:pPr>
        <w:pStyle w:val="MDPI31text"/>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 point here is the equivalent of the difference between data points in frequency space, which is a spacing of 0.5.</w:t>
      </w:r>
    </w:p>
    <w:bookmarkStart w:id="52" w:name="interval-range-based-data"/>
    <w:p>
      <w:pPr>
        <w:pStyle w:val="Heading3"/>
      </w:pPr>
      <w:r>
        <w:t xml:space="preserve">Interval Range Based Data</w:t>
      </w:r>
    </w:p>
    <w:bookmarkEnd w:id="52"/>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[24]</w:t>
      </w:r>
      <w:r>
        <w:t xml:space="preserve">.</w:t>
      </w:r>
      <w:r>
        <w:t xml:space="preserve"> </w:t>
      </w:r>
      <w:r>
        <w:t xml:space="preserve">The sliding and tiled windows are also converted to IRanges objects using this process.</w:t>
      </w:r>
    </w:p>
    <w:bookmarkStart w:id="53" w:name="peak-containing-intervals"/>
    <w:p>
      <w:pPr>
        <w:pStyle w:val="Heading3"/>
      </w:pPr>
      <w:r>
        <w:t xml:space="preserve">Peak Containing Intervals</w:t>
      </w:r>
    </w:p>
    <w:bookmarkEnd w:id="53"/>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[18]</w:t>
      </w:r>
      <w:r>
        <w:t xml:space="preserve">.</w:t>
      </w:r>
    </w:p>
    <w:p>
      <w:pPr>
        <w:pStyle w:val="MDPI31text"/>
      </w:pPr>
      <w:r>
        <w:t xml:space="preserve">Within each initial interval region, peaks in each scan are detected (see</w:t>
      </w:r>
      <w:r>
        <w:t xml:space="preserve"> </w:t>
      </w:r>
      <w:r>
        <w:rPr>
          <w:bCs/>
          <w:b/>
        </w:rPr>
        <w:t xml:space="preserve">Peak Detection</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bookmarkStart w:id="54" w:name="peak-detection-and-centroided-values"/>
    <w:p>
      <w:pPr>
        <w:pStyle w:val="Heading3"/>
      </w:pPr>
      <w:r>
        <w:t xml:space="preserve">Peak Detection and Centroided Values</w:t>
      </w:r>
    </w:p>
    <w:bookmarkEnd w:id="54"/>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[25]</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t>i</m:t>
                </m:r>
                <m:r>
                  <m:t>n</m:t>
                </m:r>
                <m:r>
                  <m:t>t</m:t>
                </m:r>
                <m:r>
                  <m:t>e</m:t>
                </m:r>
                <m:r>
                  <m:t>n</m:t>
                </m:r>
                <m:r>
                  <m:t>s</m:t>
                </m:r>
                <m:r>
                  <m:t>i</m:t>
                </m:r>
                <m:r>
                  <m:t>t</m:t>
                </m:r>
                <m:r>
                  <m:t>y</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MDPI31text"/>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MDPI31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bookmarkStart w:id="55" w:name="scan-to-scan-normalization"/>
    <w:p>
      <w:pPr>
        <w:pStyle w:val="Heading3"/>
      </w:pPr>
      <w:r>
        <w:t xml:space="preserve">Scan to Scan Normalization</w:t>
      </w:r>
    </w:p>
    <w:bookmarkEnd w:id="55"/>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bookmarkStart w:id="56" w:name="full-characterization"/>
    <w:p>
      <w:pPr>
        <w:pStyle w:val="Heading3"/>
      </w:pPr>
      <w:r>
        <w:t xml:space="preserve">Full Characterization</w:t>
      </w:r>
    </w:p>
    <w:bookmarkEnd w:id="56"/>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bookmarkStart w:id="57" w:name="Xfcc9e63ae1e2b90795a836c55d33f1e39f8398f"/>
    <w:p>
      <w:pPr>
        <w:pStyle w:val="Heading3"/>
      </w:pPr>
      <w:r>
        <w:t xml:space="preserve">Correction of Height and Standard Deviation</w:t>
      </w:r>
    </w:p>
    <w:bookmarkEnd w:id="57"/>
    <w:p>
      <w:pPr>
        <w:pStyle w:val="MDPI31text"/>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[26]</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[27,28]</w:t>
      </w:r>
      <w:r>
        <w:t xml:space="preserve">.</w:t>
      </w:r>
    </w:p>
    <w:bookmarkStart w:id="58" w:name="frequency-standard-deviation-filtering"/>
    <w:p>
      <w:pPr>
        <w:pStyle w:val="Heading3"/>
      </w:pPr>
      <w:r>
        <w:t xml:space="preserve">Frequency Standard Deviation Filtering</w:t>
      </w:r>
    </w:p>
    <w:bookmarkEnd w:id="58"/>
    <w:p>
      <w:pPr>
        <w:pStyle w:val="MDPI31text"/>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bookmarkStart w:id="59" w:name="assigning-scan-centric-peaks"/>
    <w:p>
      <w:pPr>
        <w:pStyle w:val="Heading3"/>
      </w:pPr>
      <w:r>
        <w:t xml:space="preserve">Assigning Scan-Centric Peaks</w:t>
      </w:r>
    </w:p>
    <w:bookmarkEnd w:id="59"/>
    <w:p>
      <w:pPr>
        <w:pStyle w:val="MDPI31text"/>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r>
        <w:t xml:space="preserve"> </w:t>
      </w:r>
      <w:r>
        <w:t xml:space="preserve">We attempted to create peaks that could be assigned by SMIRFE from the MSnbase and Xcalibur peak lists, but SMIRFE would not assign them given its requirements for scan-level peak characterization data.</w:t>
      </w:r>
    </w:p>
    <w:bookmarkStart w:id="60" w:name="Xe98c2b51c8ddb6918383fdcfe3ec0d0a25781c4"/>
    <w:p>
      <w:pPr>
        <w:pStyle w:val="Heading3"/>
      </w:pPr>
      <w:r>
        <w:t xml:space="preserve">Consistently Assigned Lipid Spectral Feature (Corresponded Peak) Generation and Peak Intensity Normalization</w:t>
      </w:r>
    </w:p>
    <w:bookmarkEnd w:id="60"/>
    <w:p>
      <w:pPr>
        <w:pStyle w:val="MDPI31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 which is described in Appendix A.</w:t>
      </w:r>
      <w:r>
        <w:t xml:space="preserve"> </w:t>
      </w:r>
      <w:r>
        <w:t xml:space="preserve">EMF voting identified 3485 total corresponded peaks across all 157 spectra with 855 corresponded peaks present in 25% or more of either the disease or non-disease group of samples.</w:t>
      </w:r>
      <w:r>
        <w:t xml:space="preserve"> </w:t>
      </w:r>
      <w:r>
        <w:t xml:space="preserve">All lipid isotopologue intensities were normalized by dividing the isotopologue intensity by the median intensity of all the peaks in the sample.</w:t>
      </w:r>
      <w:r>
        <w:t xml:space="preserve"> </w:t>
      </w:r>
      <w:r>
        <w:t xml:space="preserve">For differential abundance analysis, missing values were removed.</w:t>
      </w:r>
    </w:p>
    <w:bookmarkStart w:id="61" w:name="matching-peaks"/>
    <w:p>
      <w:pPr>
        <w:pStyle w:val="Heading3"/>
      </w:pPr>
      <w:r>
        <w:t xml:space="preserve">Matching Peaks</w:t>
      </w:r>
    </w:p>
    <w:bookmarkEnd w:id="61"/>
    <w:p>
      <w:pPr>
        <w:pStyle w:val="MDPI31text"/>
      </w:pPr>
      <w:r>
        <w:t xml:space="preserve">We matched the scan-centric peaks to the other methods by looking for the closest m/z peak that was within 2 ppm of the scan-centric reported m/z.</w:t>
      </w:r>
    </w:p>
    <w:bookmarkStart w:id="62" w:name="peak---peak-nap-height-ratios"/>
    <w:p>
      <w:pPr>
        <w:pStyle w:val="Heading3"/>
      </w:pPr>
      <w:r>
        <w:t xml:space="preserve">Peak - Peak NAP Height Ratios</w:t>
      </w:r>
    </w:p>
    <w:bookmarkEnd w:id="62"/>
    <w:p>
      <w:pPr>
        <w:pStyle w:val="MDPI31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MDPI31text"/>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bookmarkStart w:id="63" w:name="multi-class-f-statistics"/>
    <w:p>
      <w:pPr>
        <w:pStyle w:val="Heading3"/>
      </w:pPr>
      <w:r>
        <w:t xml:space="preserve">Multi-Class F-Statistics</w:t>
      </w:r>
    </w:p>
    <w:bookmarkEnd w:id="63"/>
    <w:p>
      <w:pPr>
        <w:pStyle w:val="MDPI31text"/>
      </w:pPr>
      <w:r>
        <w:t xml:space="preserve">To evaluate the F-statistic between multi-class samples, a much larger set of samples was used.</w:t>
      </w:r>
      <w:r>
        <w:t xml:space="preserve"> </w:t>
      </w:r>
      <w:r>
        <w:t xml:space="preserve">In this case, 181 matched non-cancer and cancer samples previously used in the HPD detection manuscript</w:t>
      </w:r>
      <w:r>
        <w:t xml:space="preserve"> </w:t>
      </w:r>
      <w:r>
        <w:t xml:space="preserve">[18]</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w:t>
      </w:r>
      <w:r>
        <w:t xml:space="preserve"> </w:t>
      </w:r>
      <w:r>
        <w:t xml:space="preserve">For each matched peak across samples, we kept the peaks present in at least 25% of samples in both classes of sample (disease, non-disease), and calculated the F-statistic for peaks generated using scan-level peak-characterization and those from MSnbase.</w:t>
      </w:r>
    </w:p>
    <w:bookmarkStart w:id="64" w:name="samples-and-overall-processing"/>
    <w:p>
      <w:pPr>
        <w:pStyle w:val="Heading3"/>
      </w:pPr>
      <w:r>
        <w:t xml:space="preserve">Samples and Overall Processing</w:t>
      </w:r>
    </w:p>
    <w:bookmarkEnd w:id="64"/>
    <w:p>
      <w:pPr>
        <w:pStyle w:val="MDPI31text"/>
      </w:pPr>
      <w:r>
        <w:t xml:space="preserve">The method for generating the amino-acid dataset was adapted from a previously published method for performing ethylchloroformate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from 150 to 1000m/z.</w:t>
      </w:r>
    </w:p>
    <w:p>
      <w:pPr>
        <w:pStyle w:val="MDPI31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non-cancer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 Tribrid Fusion Orbitrap instruments (FSN10115 and FSN10352, referred to as Fusion 1 and Fusion 2 respectively) coupled to an Advion nanoelectrospray system.</w:t>
      </w:r>
      <w:r>
        <w:t xml:space="preserve"> </w:t>
      </w:r>
      <w:r>
        <w:t xml:space="preserve">53 patients (102 spectra total) were acquired from Fusion 1 and 40 patients (77 spectra total) were acquired from Fusion 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examples in this work.</w:t>
      </w:r>
      <w:r>
        <w:t xml:space="preserve"> </w:t>
      </w:r>
      <w:r>
        <w:t xml:space="preserve">The rest were used for the examination of F-statistics.</w:t>
      </w:r>
    </w:p>
    <w:p>
      <w:pPr>
        <w:pStyle w:val="MDPI35textbeforelist"/>
      </w:pPr>
      <w:r>
        <w:t xml:space="preserve">For each raw data file in profile mzML format, they were processed in these six ways:</w:t>
      </w:r>
    </w:p>
    <w:p>
      <w:pPr>
        <w:numPr>
          <w:ilvl w:val="0"/>
          <w:numId w:val="1001"/>
        </w:numPr>
        <w:pStyle w:val="Compact"/>
      </w:pPr>
      <w:r>
        <w:t xml:space="preserve">No noise removal, no normalization, no frequency SD filtering (noperc_nonorm)</w:t>
      </w:r>
    </w:p>
    <w:p>
      <w:pPr>
        <w:numPr>
          <w:ilvl w:val="0"/>
          <w:numId w:val="1002"/>
        </w:numPr>
        <w:pStyle w:val="Compact"/>
      </w:pPr>
      <w:r>
        <w:t xml:space="preserve">Noise removal, no normalization, no frequency SD filtering (perc99_nonorm)</w:t>
      </w:r>
    </w:p>
    <w:p>
      <w:pPr>
        <w:numPr>
          <w:ilvl w:val="0"/>
          <w:numId w:val="1003"/>
        </w:numPr>
        <w:pStyle w:val="Compact"/>
      </w:pPr>
      <w:r>
        <w:t xml:space="preserve">Noise removal, single pass normalization with all peaks, no frequency SD filtering (singlenorm)</w:t>
      </w:r>
    </w:p>
    <w:p>
      <w:pPr>
        <w:numPr>
          <w:ilvl w:val="0"/>
          <w:numId w:val="1004"/>
        </w:numPr>
        <w:pStyle w:val="Compact"/>
      </w:pPr>
      <w:r>
        <w:t xml:space="preserve">Noise removal, single pass normalization with high ratio peaks, no frequency SD filtering (singlenorm_int)</w:t>
      </w:r>
    </w:p>
    <w:p>
      <w:pPr>
        <w:numPr>
          <w:ilvl w:val="0"/>
          <w:numId w:val="1005"/>
        </w:numPr>
        <w:pStyle w:val="Compact"/>
      </w:pPr>
      <w:r>
        <w:t xml:space="preserve">Noise removal, two pass normalization, no frequency SD filtering (doublenorm)</w:t>
      </w:r>
    </w:p>
    <w:p>
      <w:pPr>
        <w:numPr>
          <w:ilvl w:val="0"/>
          <w:numId w:val="1006"/>
        </w:numPr>
        <w:pStyle w:val="Compact"/>
      </w:pPr>
      <w:r>
        <w:t xml:space="preserve">Noise removal, two pass normalization, frequency SD filtering (filtersd)</w:t>
      </w:r>
    </w:p>
    <w:p>
      <w:pPr>
        <w:numPr>
          <w:ilvl w:val="0"/>
          <w:numId w:val="1007"/>
        </w:numPr>
        <w:pStyle w:val="Compac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numPr>
          <w:ilvl w:val="0"/>
          <w:numId w:val="1008"/>
        </w:numPr>
        <w:pStyle w:val="Compac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5textbeforelist"/>
      </w:pPr>
      <w:r>
        <w:t xml:space="preserve">For the two sets of MSnbase peaks, we also matched scan level peaks to merged peaks via two methods:</w:t>
      </w:r>
    </w:p>
    <w:p>
      <w:pPr>
        <w:numPr>
          <w:ilvl w:val="0"/>
          <w:numId w:val="1009"/>
        </w:numPr>
        <w:pStyle w:val="Compact"/>
      </w:pPr>
      <w:r>
        <w:t xml:space="preserve">All scan level peaks within a 2ppm window are associated with the</w:t>
      </w:r>
      <w:r>
        <w:t xml:space="preserve"> </w:t>
      </w:r>
      <w:r>
        <w:rPr>
          <w:iCs/>
          <w:i/>
        </w:rPr>
        <w:t xml:space="preserve">merged</w:t>
      </w:r>
      <w:r>
        <w:t xml:space="preserve"> </w:t>
      </w:r>
      <w:r>
        <w:t xml:space="preserve">peak</w:t>
      </w:r>
    </w:p>
    <w:p>
      <w:pPr>
        <w:numPr>
          <w:ilvl w:val="0"/>
          <w:numId w:val="1010"/>
        </w:numPr>
        <w:pStyle w:val="Compac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bookmarkStart w:id="65" w:name="conclusions"/>
    <w:p>
      <w:pPr>
        <w:pStyle w:val="Heading2"/>
      </w:pPr>
      <w:r>
        <w:t xml:space="preserve">Conclusions</w:t>
      </w:r>
    </w:p>
    <w:bookmarkEnd w:id="65"/>
    <w:bookmarkStart w:id="66" w:name="references"/>
    <w:p>
      <w:pPr>
        <w:pStyle w:val="Heading2"/>
      </w:pPr>
      <w:r>
        <w:t xml:space="preserve">References</w:t>
      </w:r>
    </w:p>
    <w:bookmarkEnd w:id="66"/>
    <w:bookmarkStart w:id="121" w:name="refs"/>
    <w:bookmarkStart w:id="68"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67">
        <w:r>
          <w:rPr>
            <w:rStyle w:val="Hyperlink"/>
          </w:rPr>
          <w:t xml:space="preserve">10.1007/978-1-4939-1258-2_11</w:t>
        </w:r>
      </w:hyperlink>
    </w:p>
    <w:bookmarkEnd w:id="68"/>
    <w:bookmarkStart w:id="70"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69">
        <w:r>
          <w:rPr>
            <w:rStyle w:val="Hyperlink"/>
          </w:rPr>
          <w:t xml:space="preserve">10.1186/1471-2105-11-139</w:t>
        </w:r>
      </w:hyperlink>
    </w:p>
    <w:bookmarkEnd w:id="70"/>
    <w:bookmarkStart w:id="72"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71">
        <w:r>
          <w:rPr>
            <w:rStyle w:val="Hyperlink"/>
          </w:rPr>
          <w:t xml:space="preserve">10.3390/metabo3040853</w:t>
        </w:r>
      </w:hyperlink>
    </w:p>
    <w:bookmarkEnd w:id="72"/>
    <w:bookmarkStart w:id="74"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73">
        <w:r>
          <w:rPr>
            <w:rStyle w:val="Hyperlink"/>
          </w:rPr>
          <w:t xml:space="preserve">10.1038/s41374-021-00631-4</w:t>
        </w:r>
      </w:hyperlink>
    </w:p>
    <w:bookmarkEnd w:id="74"/>
    <w:bookmarkStart w:id="76"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75">
        <w:r>
          <w:rPr>
            <w:rStyle w:val="Hyperlink"/>
          </w:rPr>
          <w:t xml:space="preserve">10.1186/1471-2105-7-234</w:t>
        </w:r>
      </w:hyperlink>
    </w:p>
    <w:bookmarkEnd w:id="76"/>
    <w:bookmarkStart w:id="78"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77">
        <w:r>
          <w:rPr>
            <w:rStyle w:val="Hyperlink"/>
          </w:rPr>
          <w:t xml:space="preserve">10.1021/acs.analchem.9b00748</w:t>
        </w:r>
      </w:hyperlink>
    </w:p>
    <w:bookmarkEnd w:id="78"/>
    <w:bookmarkStart w:id="80"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79">
        <w:r>
          <w:rPr>
            <w:rStyle w:val="Hyperlink"/>
          </w:rPr>
          <w:t xml:space="preserve">10.1016/j.ymeth.2004.03.015</w:t>
        </w:r>
      </w:hyperlink>
    </w:p>
    <w:bookmarkEnd w:id="80"/>
    <w:bookmarkStart w:id="82"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81">
        <w:r>
          <w:rPr>
            <w:rStyle w:val="Hyperlink"/>
          </w:rPr>
          <w:t xml:space="preserve">10.1002/mas.20108</w:t>
        </w:r>
      </w:hyperlink>
    </w:p>
    <w:bookmarkEnd w:id="82"/>
    <w:bookmarkStart w:id="84"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83">
        <w:r>
          <w:rPr>
            <w:rStyle w:val="Hyperlink"/>
          </w:rPr>
          <w:t xml:space="preserve">10.1016/j.aca.2017.04.014</w:t>
        </w:r>
      </w:hyperlink>
    </w:p>
    <w:bookmarkEnd w:id="84"/>
    <w:bookmarkStart w:id="86"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85">
        <w:r>
          <w:rPr>
            <w:rStyle w:val="Hyperlink"/>
          </w:rPr>
          <w:t xml:space="preserve">10.1021/ac3018795</w:t>
        </w:r>
      </w:hyperlink>
    </w:p>
    <w:bookmarkEnd w:id="86"/>
    <w:bookmarkStart w:id="88"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87">
        <w:r>
          <w:rPr>
            <w:rStyle w:val="Hyperlink"/>
          </w:rPr>
          <w:t xml:space="preserve">10.1021/ac1011574</w:t>
        </w:r>
      </w:hyperlink>
    </w:p>
    <w:bookmarkEnd w:id="88"/>
    <w:bookmarkStart w:id="90"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89">
        <w:r>
          <w:rPr>
            <w:rStyle w:val="Hyperlink"/>
          </w:rPr>
          <w:t xml:space="preserve">10.1016/j.pharmthera.2011.12.007</w:t>
        </w:r>
      </w:hyperlink>
    </w:p>
    <w:bookmarkEnd w:id="90"/>
    <w:bookmarkStart w:id="92"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91">
        <w:r>
          <w:rPr>
            <w:rStyle w:val="Hyperlink"/>
          </w:rPr>
          <w:t xml:space="preserve">10.1186/1741-7007-9-37</w:t>
        </w:r>
      </w:hyperlink>
    </w:p>
    <w:bookmarkEnd w:id="92"/>
    <w:bookmarkStart w:id="94"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93">
        <w:r>
          <w:rPr>
            <w:rStyle w:val="Hyperlink"/>
          </w:rPr>
          <w:t xml:space="preserve">10.1172/JCI72873</w:t>
        </w:r>
      </w:hyperlink>
    </w:p>
    <w:bookmarkEnd w:id="94"/>
    <w:bookmarkStart w:id="96"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95">
        <w:r>
          <w:rPr>
            <w:rStyle w:val="Hyperlink"/>
          </w:rPr>
          <w:t xml:space="preserve">10.1007/s11306-017-1250-7</w:t>
        </w:r>
      </w:hyperlink>
    </w:p>
    <w:bookmarkEnd w:id="96"/>
    <w:bookmarkStart w:id="98"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97">
        <w:r>
          <w:rPr>
            <w:rStyle w:val="Hyperlink"/>
          </w:rPr>
          <w:t xml:space="preserve">10.1186/s12859-019-3096-7</w:t>
        </w:r>
      </w:hyperlink>
    </w:p>
    <w:bookmarkEnd w:id="98"/>
    <w:bookmarkStart w:id="100"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99">
        <w:r>
          <w:rPr>
            <w:rStyle w:val="Hyperlink"/>
          </w:rPr>
          <w:t xml:space="preserve">10.3390/metabo10030118</w:t>
        </w:r>
      </w:hyperlink>
    </w:p>
    <w:bookmarkEnd w:id="100"/>
    <w:bookmarkStart w:id="102"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101">
        <w:r>
          <w:rPr>
            <w:rStyle w:val="Hyperlink"/>
          </w:rPr>
          <w:t xml:space="preserve">10.1007/s11306-018-1426-9</w:t>
        </w:r>
      </w:hyperlink>
    </w:p>
    <w:bookmarkEnd w:id="102"/>
    <w:bookmarkStart w:id="104"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103">
        <w:r>
          <w:rPr>
            <w:rStyle w:val="Hyperlink"/>
          </w:rPr>
          <w:t xml:space="preserve">10.3390/metabo10030122</w:t>
        </w:r>
      </w:hyperlink>
    </w:p>
    <w:bookmarkEnd w:id="104"/>
    <w:bookmarkStart w:id="106"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105">
        <w:r>
          <w:rPr>
            <w:rStyle w:val="Hyperlink"/>
          </w:rPr>
          <w:t xml:space="preserve">10.3390/metabo11110740</w:t>
        </w:r>
      </w:hyperlink>
    </w:p>
    <w:bookmarkEnd w:id="106"/>
    <w:bookmarkStart w:id="108"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107">
        <w:r>
          <w:rPr>
            <w:rStyle w:val="Hyperlink"/>
          </w:rPr>
          <w:t xml:space="preserve">10.5936/csbj.201301006</w:t>
        </w:r>
      </w:hyperlink>
    </w:p>
    <w:bookmarkEnd w:id="108"/>
    <w:bookmarkStart w:id="109"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109"/>
    <w:bookmarkStart w:id="111" w:name="ref-ledfordSpaceChargeEffects1984"/>
    <w:p>
      <w:pPr>
        <w:pStyle w:val="Bibliography"/>
      </w:pPr>
      <w:r>
        <w:t xml:space="preserve">23.</w:t>
      </w:r>
      <w:r>
        <w:t xml:space="preserve"> </w:t>
      </w:r>
      <w:r>
        <w:t xml:space="preserve">	</w:t>
      </w:r>
      <w:r>
        <w:t xml:space="preserve">Ledford EB, Rempel DL, Gross ML. Space charge effects in Fourier transform mass spectrometry. II. Mass calibration. Anal Chem. 1984;56: 2744–2748. doi:</w:t>
      </w:r>
      <w:hyperlink r:id="rId110">
        <w:r>
          <w:rPr>
            <w:rStyle w:val="Hyperlink"/>
          </w:rPr>
          <w:t xml:space="preserve">10.1021/ac00278a027</w:t>
        </w:r>
      </w:hyperlink>
    </w:p>
    <w:bookmarkEnd w:id="111"/>
    <w:bookmarkStart w:id="113" w:name="Xc9d4340803cec2a15e83c7b9a18da3fcbfed687"/>
    <w:p>
      <w:pPr>
        <w:pStyle w:val="Bibliography"/>
      </w:pPr>
      <w:r>
        <w:t xml:space="preserve">24.</w:t>
      </w:r>
      <w:r>
        <w:t xml:space="preserve"> </w:t>
      </w:r>
      <w:r>
        <w:t xml:space="preserve">	</w:t>
      </w:r>
      <w:r>
        <w:t xml:space="preserve">Lawrence M, Huber W, Pagès H, Aboyoun P, Carlson M, Gentleman R, et al. Software for Computing and Annotating Genomic Ranges. PLOS Computational Biology. 2013;9: e1003118. doi:</w:t>
      </w:r>
      <w:hyperlink r:id="rId112">
        <w:r>
          <w:rPr>
            <w:rStyle w:val="Hyperlink"/>
          </w:rPr>
          <w:t xml:space="preserve">10.1371/journal.pcbi.1003118</w:t>
        </w:r>
      </w:hyperlink>
    </w:p>
    <w:bookmarkEnd w:id="113"/>
    <w:bookmarkStart w:id="115" w:name="ref-borchersPracmaPracticalNumerical2021"/>
    <w:p>
      <w:pPr>
        <w:pStyle w:val="Bibliography"/>
      </w:pPr>
      <w:r>
        <w:t xml:space="preserve">25.</w:t>
      </w:r>
      <w:r>
        <w:t xml:space="preserve"> </w:t>
      </w:r>
      <w:r>
        <w:t xml:space="preserve">	</w:t>
      </w:r>
      <w:r>
        <w:t xml:space="preserve">Borchers HW. pracma: Practical numerical math functions. 2021. Available:</w:t>
      </w:r>
      <w:r>
        <w:t xml:space="preserve"> </w:t>
      </w:r>
      <w:hyperlink r:id="rId114">
        <w:r>
          <w:rPr>
            <w:rStyle w:val="Hyperlink"/>
          </w:rPr>
          <w:t xml:space="preserve">https://CRAN.R-project.org/package=pracma</w:t>
        </w:r>
      </w:hyperlink>
    </w:p>
    <w:bookmarkEnd w:id="115"/>
    <w:bookmarkStart w:id="117" w:name="X4363fd09f2cfc5c8b6bf66f5b50b594ec28d30d"/>
    <w:p>
      <w:pPr>
        <w:pStyle w:val="Bibliography"/>
      </w:pPr>
      <w:r>
        <w:t xml:space="preserve">26.</w:t>
      </w:r>
      <w:r>
        <w:t xml:space="preserve"> </w:t>
      </w:r>
      <w:r>
        <w:t xml:space="preserve">	</w:t>
      </w:r>
      <w:r>
        <w:t xml:space="preserve">Flight RM, Bhatt PS, Moseley HN. Information-Content-Informed Kendall-tau Correlation: Utilizing Missing Values. 2022; 2022.02.24.481854. doi:</w:t>
      </w:r>
      <w:hyperlink r:id="rId116">
        <w:r>
          <w:rPr>
            <w:rStyle w:val="Hyperlink"/>
          </w:rPr>
          <w:t xml:space="preserve">10.1101/2022.02.24.481854</w:t>
        </w:r>
      </w:hyperlink>
    </w:p>
    <w:bookmarkEnd w:id="117"/>
    <w:bookmarkStart w:id="119" w:name="ref-TruncatedNormalDistribution2022"/>
    <w:p>
      <w:pPr>
        <w:pStyle w:val="Bibliography"/>
      </w:pPr>
      <w:r>
        <w:t xml:space="preserve">27.</w:t>
      </w:r>
      <w:r>
        <w:t xml:space="preserve"> </w:t>
      </w:r>
      <w:r>
        <w:t xml:space="preserve">	</w:t>
      </w:r>
      <w:r>
        <w:t xml:space="preserve">Truncated normal distribution. Wikipedia. 2022. Available:</w:t>
      </w:r>
      <w:r>
        <w:t xml:space="preserve"> </w:t>
      </w:r>
      <w:hyperlink r:id="rId118">
        <w:r>
          <w:rPr>
            <w:rStyle w:val="Hyperlink"/>
          </w:rPr>
          <w:t xml:space="preserve">https://en.wikipedia.org/w/index.php?title=Truncated_normal_distribution&amp;oldid=1074943875</w:t>
        </w:r>
      </w:hyperlink>
    </w:p>
    <w:bookmarkEnd w:id="119"/>
    <w:bookmarkStart w:id="120" w:name="ref-burkardtTruncatedNormalDistribution"/>
    <w:p>
      <w:pPr>
        <w:pStyle w:val="Bibliography"/>
      </w:pPr>
      <w:r>
        <w:t xml:space="preserve">28.</w:t>
      </w:r>
      <w:r>
        <w:t xml:space="preserve"> </w:t>
      </w:r>
      <w:r>
        <w:t xml:space="preserve">	</w:t>
      </w:r>
      <w:r>
        <w:t xml:space="preserve">Burkardt J. The Truncated Normal Distribution. : 35.</w:t>
      </w:r>
      <w:r>
        <w:t xml:space="preserve"> </w:t>
      </w:r>
    </w:p>
    <w:bookmarkEnd w:id="120"/>
    <w:bookmarkEnd w:id="121"/>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hyperlink" Id="rId114" Target="https://CRAN.R-project.org/package=pracma" TargetMode="External" /><Relationship Type="http://schemas.openxmlformats.org/officeDocument/2006/relationships/hyperlink" Id="rId81" Target="https://doi.org/10.1002/mas.20108" TargetMode="External" /><Relationship Type="http://schemas.openxmlformats.org/officeDocument/2006/relationships/hyperlink" Id="rId67" Target="https://doi.org/10.1007/978-1-4939-1258-2_11" TargetMode="External" /><Relationship Type="http://schemas.openxmlformats.org/officeDocument/2006/relationships/hyperlink" Id="rId95" Target="https://doi.org/10.1007/s11306-017-1250-7" TargetMode="External" /><Relationship Type="http://schemas.openxmlformats.org/officeDocument/2006/relationships/hyperlink" Id="rId101" Target="https://doi.org/10.1007/s11306-018-1426-9" TargetMode="External" /><Relationship Type="http://schemas.openxmlformats.org/officeDocument/2006/relationships/hyperlink" Id="rId83" Target="https://doi.org/10.1016/j.aca.2017.04.014" TargetMode="External" /><Relationship Type="http://schemas.openxmlformats.org/officeDocument/2006/relationships/hyperlink" Id="rId89" Target="https://doi.org/10.1016/j.pharmthera.2011.12.007" TargetMode="External" /><Relationship Type="http://schemas.openxmlformats.org/officeDocument/2006/relationships/hyperlink" Id="rId79" Target="https://doi.org/10.1016/j.ymeth.2004.03.015" TargetMode="External" /><Relationship Type="http://schemas.openxmlformats.org/officeDocument/2006/relationships/hyperlink" Id="rId110" Target="https://doi.org/10.1021/ac00278a027" TargetMode="External" /><Relationship Type="http://schemas.openxmlformats.org/officeDocument/2006/relationships/hyperlink" Id="rId87" Target="https://doi.org/10.1021/ac1011574" TargetMode="External" /><Relationship Type="http://schemas.openxmlformats.org/officeDocument/2006/relationships/hyperlink" Id="rId85" Target="https://doi.org/10.1021/ac3018795" TargetMode="External" /><Relationship Type="http://schemas.openxmlformats.org/officeDocument/2006/relationships/hyperlink" Id="rId77" Target="https://doi.org/10.1021/acs.analchem.9b00748" TargetMode="External" /><Relationship Type="http://schemas.openxmlformats.org/officeDocument/2006/relationships/hyperlink" Id="rId73" Target="https://doi.org/10.1038/s41374-021-00631-4" TargetMode="External" /><Relationship Type="http://schemas.openxmlformats.org/officeDocument/2006/relationships/hyperlink" Id="rId116" Target="https://doi.org/10.1101/2022.02.24.481854" TargetMode="External" /><Relationship Type="http://schemas.openxmlformats.org/officeDocument/2006/relationships/hyperlink" Id="rId93" Target="https://doi.org/10.1172/JCI72873" TargetMode="External" /><Relationship Type="http://schemas.openxmlformats.org/officeDocument/2006/relationships/hyperlink" Id="rId69" Target="https://doi.org/10.1186/1471-2105-11-139" TargetMode="External" /><Relationship Type="http://schemas.openxmlformats.org/officeDocument/2006/relationships/hyperlink" Id="rId75" Target="https://doi.org/10.1186/1471-2105-7-234" TargetMode="External" /><Relationship Type="http://schemas.openxmlformats.org/officeDocument/2006/relationships/hyperlink" Id="rId91" Target="https://doi.org/10.1186/1741-7007-9-37" TargetMode="External" /><Relationship Type="http://schemas.openxmlformats.org/officeDocument/2006/relationships/hyperlink" Id="rId97" Target="https://doi.org/10.1186/s12859-019-3096-7" TargetMode="External" /><Relationship Type="http://schemas.openxmlformats.org/officeDocument/2006/relationships/hyperlink" Id="rId112" Target="https://doi.org/10.1371/journal.pcbi.1003118" TargetMode="External" /><Relationship Type="http://schemas.openxmlformats.org/officeDocument/2006/relationships/hyperlink" Id="rId99" Target="https://doi.org/10.3390/metabo10030118" TargetMode="External" /><Relationship Type="http://schemas.openxmlformats.org/officeDocument/2006/relationships/hyperlink" Id="rId103" Target="https://doi.org/10.3390/metabo10030122" TargetMode="External" /><Relationship Type="http://schemas.openxmlformats.org/officeDocument/2006/relationships/hyperlink" Id="rId105" Target="https://doi.org/10.3390/metabo11110740" TargetMode="External" /><Relationship Type="http://schemas.openxmlformats.org/officeDocument/2006/relationships/hyperlink" Id="rId71" Target="https://doi.org/10.3390/metabo3040853" TargetMode="External" /><Relationship Type="http://schemas.openxmlformats.org/officeDocument/2006/relationships/hyperlink" Id="rId107" Target="https://doi.org/10.5936/csbj.201301006" TargetMode="External" /><Relationship Type="http://schemas.openxmlformats.org/officeDocument/2006/relationships/hyperlink" Id="rId118"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14" Target="https://CRAN.R-project.org/package=pracma" TargetMode="External" /><Relationship Type="http://schemas.openxmlformats.org/officeDocument/2006/relationships/hyperlink" Id="rId81" Target="https://doi.org/10.1002/mas.20108" TargetMode="External" /><Relationship Type="http://schemas.openxmlformats.org/officeDocument/2006/relationships/hyperlink" Id="rId67" Target="https://doi.org/10.1007/978-1-4939-1258-2_11" TargetMode="External" /><Relationship Type="http://schemas.openxmlformats.org/officeDocument/2006/relationships/hyperlink" Id="rId95" Target="https://doi.org/10.1007/s11306-017-1250-7" TargetMode="External" /><Relationship Type="http://schemas.openxmlformats.org/officeDocument/2006/relationships/hyperlink" Id="rId101" Target="https://doi.org/10.1007/s11306-018-1426-9" TargetMode="External" /><Relationship Type="http://schemas.openxmlformats.org/officeDocument/2006/relationships/hyperlink" Id="rId83" Target="https://doi.org/10.1016/j.aca.2017.04.014" TargetMode="External" /><Relationship Type="http://schemas.openxmlformats.org/officeDocument/2006/relationships/hyperlink" Id="rId89" Target="https://doi.org/10.1016/j.pharmthera.2011.12.007" TargetMode="External" /><Relationship Type="http://schemas.openxmlformats.org/officeDocument/2006/relationships/hyperlink" Id="rId79" Target="https://doi.org/10.1016/j.ymeth.2004.03.015" TargetMode="External" /><Relationship Type="http://schemas.openxmlformats.org/officeDocument/2006/relationships/hyperlink" Id="rId110" Target="https://doi.org/10.1021/ac00278a027" TargetMode="External" /><Relationship Type="http://schemas.openxmlformats.org/officeDocument/2006/relationships/hyperlink" Id="rId87" Target="https://doi.org/10.1021/ac1011574" TargetMode="External" /><Relationship Type="http://schemas.openxmlformats.org/officeDocument/2006/relationships/hyperlink" Id="rId85" Target="https://doi.org/10.1021/ac3018795" TargetMode="External" /><Relationship Type="http://schemas.openxmlformats.org/officeDocument/2006/relationships/hyperlink" Id="rId77" Target="https://doi.org/10.1021/acs.analchem.9b00748" TargetMode="External" /><Relationship Type="http://schemas.openxmlformats.org/officeDocument/2006/relationships/hyperlink" Id="rId73" Target="https://doi.org/10.1038/s41374-021-00631-4" TargetMode="External" /><Relationship Type="http://schemas.openxmlformats.org/officeDocument/2006/relationships/hyperlink" Id="rId116" Target="https://doi.org/10.1101/2022.02.24.481854" TargetMode="External" /><Relationship Type="http://schemas.openxmlformats.org/officeDocument/2006/relationships/hyperlink" Id="rId93" Target="https://doi.org/10.1172/JCI72873" TargetMode="External" /><Relationship Type="http://schemas.openxmlformats.org/officeDocument/2006/relationships/hyperlink" Id="rId69" Target="https://doi.org/10.1186/1471-2105-11-139" TargetMode="External" /><Relationship Type="http://schemas.openxmlformats.org/officeDocument/2006/relationships/hyperlink" Id="rId75" Target="https://doi.org/10.1186/1471-2105-7-234" TargetMode="External" /><Relationship Type="http://schemas.openxmlformats.org/officeDocument/2006/relationships/hyperlink" Id="rId91" Target="https://doi.org/10.1186/1741-7007-9-37" TargetMode="External" /><Relationship Type="http://schemas.openxmlformats.org/officeDocument/2006/relationships/hyperlink" Id="rId97" Target="https://doi.org/10.1186/s12859-019-3096-7" TargetMode="External" /><Relationship Type="http://schemas.openxmlformats.org/officeDocument/2006/relationships/hyperlink" Id="rId112" Target="https://doi.org/10.1371/journal.pcbi.1003118" TargetMode="External" /><Relationship Type="http://schemas.openxmlformats.org/officeDocument/2006/relationships/hyperlink" Id="rId99" Target="https://doi.org/10.3390/metabo10030118" TargetMode="External" /><Relationship Type="http://schemas.openxmlformats.org/officeDocument/2006/relationships/hyperlink" Id="rId103" Target="https://doi.org/10.3390/metabo10030122" TargetMode="External" /><Relationship Type="http://schemas.openxmlformats.org/officeDocument/2006/relationships/hyperlink" Id="rId105" Target="https://doi.org/10.3390/metabo11110740" TargetMode="External" /><Relationship Type="http://schemas.openxmlformats.org/officeDocument/2006/relationships/hyperlink" Id="rId71" Target="https://doi.org/10.3390/metabo3040853" TargetMode="External" /><Relationship Type="http://schemas.openxmlformats.org/officeDocument/2006/relationships/hyperlink" Id="rId107" Target="https://doi.org/10.5936/csbj.201301006" TargetMode="External" /><Relationship Type="http://schemas.openxmlformats.org/officeDocument/2006/relationships/hyperlink" Id="rId118"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dcterms:created xsi:type="dcterms:W3CDTF">2022-04-07T01:29:17Z</dcterms:created>
  <dcterms:modified xsi:type="dcterms:W3CDTF">2022-04-07T01:29:17Z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2022-04-06 21:28:12</vt:lpwstr>
  </property>
  <property fmtid="{D5CDD505-2E9C-101B-9397-08002B2CF9AE}" pid="5" name="editor_options">
    <vt:lpwstr/>
  </property>
  <property fmtid="{D5CDD505-2E9C-101B-9397-08002B2CF9AE}" pid="6" name="output">
    <vt:lpwstr/>
  </property>
</Properties>
</file>